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AE5" w:rsidRPr="006F5AE5" w:rsidRDefault="006F5AE5" w:rsidP="006F5AE5">
      <w:pPr>
        <w:shd w:val="clear" w:color="auto" w:fill="FFFFFF"/>
        <w:spacing w:after="0" w:line="240" w:lineRule="auto"/>
        <w:rPr>
          <w:rFonts w:eastAsia="Times New Roman" w:cstheme="minorHAnsi"/>
          <w:color w:val="000000"/>
          <w:lang w:eastAsia="it-IT"/>
        </w:rPr>
      </w:pPr>
      <w:r w:rsidRPr="006F5AE5">
        <w:rPr>
          <w:rFonts w:eastAsia="Times New Roman" w:cstheme="minorHAnsi"/>
          <w:color w:val="3A790D"/>
          <w:bdr w:val="none" w:sz="0" w:space="0" w:color="auto" w:frame="1"/>
          <w:lang w:eastAsia="it-IT"/>
        </w:rPr>
        <w:t>IMU ANNO 2020</w:t>
      </w:r>
    </w:p>
    <w:tbl>
      <w:tblPr>
        <w:tblW w:w="9750" w:type="dxa"/>
        <w:tblBorders>
          <w:top w:val="single" w:sz="6" w:space="0" w:color="333333"/>
          <w:left w:val="single" w:sz="6" w:space="0" w:color="333333"/>
          <w:bottom w:val="single" w:sz="6" w:space="0" w:color="333333"/>
          <w:right w:val="single" w:sz="6" w:space="0" w:color="333333"/>
        </w:tblBorders>
        <w:shd w:val="clear" w:color="auto" w:fill="FFFFFF"/>
        <w:tblCellMar>
          <w:left w:w="0" w:type="dxa"/>
          <w:right w:w="0" w:type="dxa"/>
        </w:tblCellMar>
        <w:tblLook w:val="04A0" w:firstRow="1" w:lastRow="0" w:firstColumn="1" w:lastColumn="0" w:noHBand="0" w:noVBand="1"/>
        <w:tblDescription w:val="-"/>
      </w:tblPr>
      <w:tblGrid>
        <w:gridCol w:w="9750"/>
      </w:tblGrid>
      <w:tr w:rsidR="006F5AE5" w:rsidRPr="006F5AE5" w:rsidTr="00D70BEB">
        <w:trPr>
          <w:trHeight w:val="524"/>
        </w:trPr>
        <w:tc>
          <w:tcPr>
            <w:tcW w:w="0" w:type="auto"/>
            <w:tcBorders>
              <w:top w:val="nil"/>
              <w:left w:val="nil"/>
              <w:bottom w:val="nil"/>
              <w:right w:val="nil"/>
            </w:tcBorders>
            <w:shd w:val="clear" w:color="auto" w:fill="E5E5E5"/>
            <w:tcMar>
              <w:top w:w="60" w:type="dxa"/>
              <w:left w:w="60" w:type="dxa"/>
              <w:bottom w:w="60" w:type="dxa"/>
              <w:right w:w="60" w:type="dxa"/>
            </w:tcMar>
            <w:vAlign w:val="center"/>
            <w:hideMark/>
          </w:tcPr>
          <w:p w:rsidR="006F5AE5" w:rsidRPr="006F5AE5" w:rsidRDefault="006F5AE5" w:rsidP="006F5AE5">
            <w:pPr>
              <w:spacing w:before="120" w:after="120" w:line="240" w:lineRule="auto"/>
              <w:rPr>
                <w:rFonts w:eastAsia="Times New Roman" w:cstheme="minorHAnsi"/>
                <w:color w:val="777777"/>
                <w:lang w:eastAsia="it-IT"/>
              </w:rPr>
            </w:pPr>
            <w:bookmarkStart w:id="0" w:name="_GoBack"/>
            <w:bookmarkEnd w:id="0"/>
            <w:r w:rsidRPr="006F5AE5">
              <w:rPr>
                <w:rFonts w:eastAsia="Times New Roman" w:cstheme="minorHAnsi"/>
                <w:color w:val="777777"/>
                <w:lang w:eastAsia="it-IT"/>
              </w:rPr>
              <w:t>TARIFFE IMU ANNO 2020</w:t>
            </w:r>
          </w:p>
        </w:tc>
      </w:tr>
      <w:tr w:rsidR="006F5AE5" w:rsidRPr="006F5AE5" w:rsidTr="00D70BEB">
        <w:trPr>
          <w:trHeight w:val="9928"/>
        </w:trPr>
        <w:tc>
          <w:tcPr>
            <w:tcW w:w="0" w:type="auto"/>
            <w:tcBorders>
              <w:top w:val="single" w:sz="6" w:space="0" w:color="888888"/>
              <w:left w:val="single" w:sz="6" w:space="0" w:color="888888"/>
              <w:bottom w:val="single" w:sz="6" w:space="0" w:color="888888"/>
              <w:right w:val="single" w:sz="6" w:space="0" w:color="888888"/>
            </w:tcBorders>
            <w:shd w:val="clear" w:color="auto" w:fill="E5E5E5"/>
            <w:tcMar>
              <w:top w:w="60" w:type="dxa"/>
              <w:left w:w="60" w:type="dxa"/>
              <w:bottom w:w="60" w:type="dxa"/>
              <w:right w:w="60" w:type="dxa"/>
            </w:tcMar>
            <w:vAlign w:val="center"/>
            <w:hideMark/>
          </w:tcPr>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Abitazione principale e relative pertinenze (solo categorie A/1, A/8 e A/9):</w:t>
            </w:r>
            <w:r w:rsidRPr="006F5AE5">
              <w:rPr>
                <w:rFonts w:eastAsia="Times New Roman" w:cstheme="minorHAnsi"/>
                <w:b/>
                <w:bCs/>
                <w:color w:val="212121"/>
                <w:lang w:eastAsia="it-IT"/>
              </w:rPr>
              <w:t>4,00</w:t>
            </w:r>
            <w:r w:rsidRPr="006F5AE5">
              <w:rPr>
                <w:rFonts w:eastAsia="Times New Roman" w:cstheme="minorHAnsi"/>
                <w:color w:val="212121"/>
                <w:lang w:eastAsia="it-IT"/>
              </w:rPr>
              <w:t> per mille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Immobili posseduti da soggetti AIRE:</w:t>
            </w:r>
            <w:r w:rsidRPr="006F5AE5">
              <w:rPr>
                <w:rFonts w:eastAsia="Times New Roman" w:cstheme="minorHAnsi"/>
                <w:b/>
                <w:bCs/>
                <w:color w:val="212121"/>
                <w:lang w:eastAsia="it-IT"/>
              </w:rPr>
              <w:t>4,60</w:t>
            </w:r>
            <w:r w:rsidRPr="006F5AE5">
              <w:rPr>
                <w:rFonts w:eastAsia="Times New Roman" w:cstheme="minorHAnsi"/>
                <w:color w:val="212121"/>
                <w:lang w:eastAsia="it-IT"/>
              </w:rPr>
              <w:t> per mille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Immobili non produttivi di reddito fondiario:</w:t>
            </w:r>
            <w:r w:rsidRPr="006F5AE5">
              <w:rPr>
                <w:rFonts w:eastAsia="Times New Roman" w:cstheme="minorHAnsi"/>
                <w:b/>
                <w:bCs/>
                <w:color w:val="212121"/>
                <w:lang w:eastAsia="it-IT"/>
              </w:rPr>
              <w:t>7,60</w:t>
            </w:r>
            <w:r w:rsidRPr="006F5AE5">
              <w:rPr>
                <w:rFonts w:eastAsia="Times New Roman" w:cstheme="minorHAnsi"/>
                <w:color w:val="212121"/>
                <w:lang w:eastAsia="it-IT"/>
              </w:rPr>
              <w:t> per mille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Immobili soggetti IRES:</w:t>
            </w:r>
            <w:r w:rsidRPr="006F5AE5">
              <w:rPr>
                <w:rFonts w:eastAsia="Times New Roman" w:cstheme="minorHAnsi"/>
                <w:b/>
                <w:bCs/>
                <w:color w:val="212121"/>
                <w:lang w:eastAsia="it-IT"/>
              </w:rPr>
              <w:t>7,60</w:t>
            </w:r>
            <w:r w:rsidRPr="006F5AE5">
              <w:rPr>
                <w:rFonts w:eastAsia="Times New Roman" w:cstheme="minorHAnsi"/>
                <w:color w:val="212121"/>
                <w:lang w:eastAsia="it-IT"/>
              </w:rPr>
              <w:t> per mille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Fabbricati di proprietà di imprese costruttrici:</w:t>
            </w:r>
            <w:r w:rsidRPr="006F5AE5">
              <w:rPr>
                <w:rFonts w:eastAsia="Times New Roman" w:cstheme="minorHAnsi"/>
                <w:b/>
                <w:bCs/>
                <w:color w:val="212121"/>
                <w:lang w:eastAsia="it-IT"/>
              </w:rPr>
              <w:t>7,60</w:t>
            </w:r>
            <w:r w:rsidRPr="006F5AE5">
              <w:rPr>
                <w:rFonts w:eastAsia="Times New Roman" w:cstheme="minorHAnsi"/>
                <w:color w:val="212121"/>
                <w:lang w:eastAsia="it-IT"/>
              </w:rPr>
              <w:t> per mille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Fabbricati categoria D:</w:t>
            </w:r>
            <w:r w:rsidRPr="006F5AE5">
              <w:rPr>
                <w:rFonts w:eastAsia="Times New Roman" w:cstheme="minorHAnsi"/>
                <w:b/>
                <w:bCs/>
                <w:color w:val="212121"/>
                <w:lang w:eastAsia="it-IT"/>
              </w:rPr>
              <w:t>7,60</w:t>
            </w:r>
            <w:r w:rsidRPr="006F5AE5">
              <w:rPr>
                <w:rFonts w:eastAsia="Times New Roman" w:cstheme="minorHAnsi"/>
                <w:color w:val="212121"/>
                <w:lang w:eastAsia="it-IT"/>
              </w:rPr>
              <w:t> per mille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Immobili locati:</w:t>
            </w:r>
            <w:r w:rsidRPr="006F5AE5">
              <w:rPr>
                <w:rFonts w:eastAsia="Times New Roman" w:cstheme="minorHAnsi"/>
                <w:b/>
                <w:bCs/>
                <w:color w:val="212121"/>
                <w:lang w:eastAsia="it-IT"/>
              </w:rPr>
              <w:t>7,60</w:t>
            </w:r>
            <w:r w:rsidRPr="006F5AE5">
              <w:rPr>
                <w:rFonts w:eastAsia="Times New Roman" w:cstheme="minorHAnsi"/>
                <w:color w:val="212121"/>
                <w:lang w:eastAsia="it-IT"/>
              </w:rPr>
              <w:t> per mille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Aliquota base per tutte le fattispecie diverse dalle precedenti:</w:t>
            </w:r>
            <w:r w:rsidRPr="006F5AE5">
              <w:rPr>
                <w:rFonts w:eastAsia="Times New Roman" w:cstheme="minorHAnsi"/>
                <w:b/>
                <w:bCs/>
                <w:color w:val="212121"/>
                <w:lang w:eastAsia="it-IT"/>
              </w:rPr>
              <w:t>10,60</w:t>
            </w:r>
            <w:r w:rsidRPr="006F5AE5">
              <w:rPr>
                <w:rFonts w:eastAsia="Times New Roman" w:cstheme="minorHAnsi"/>
                <w:color w:val="212121"/>
                <w:lang w:eastAsia="it-IT"/>
              </w:rPr>
              <w:t> per mille.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b/>
                <w:bCs/>
                <w:color w:val="212121"/>
                <w:lang w:eastAsia="it-IT"/>
              </w:rPr>
              <w:t>IMU SUI TERRENI AGRICOLI</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Sono esenti i terreni ubicati nell’elenco dei Comuni, incluso il Comune di Fasano, contenuto nella circolare 9 del 1993. Sono inoltre esenti i terreni posseduti 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condotti da imprenditori agricoli indipendentemente da dove siano ubicati. Sono esenti i terreni a immutabile destinazione </w:t>
            </w:r>
            <w:proofErr w:type="spellStart"/>
            <w:r w:rsidRPr="006F5AE5">
              <w:rPr>
                <w:rFonts w:eastAsia="Times New Roman" w:cstheme="minorHAnsi"/>
                <w:color w:val="212121"/>
                <w:lang w:eastAsia="it-IT"/>
              </w:rPr>
              <w:t>agrosilvo</w:t>
            </w:r>
            <w:proofErr w:type="spellEnd"/>
            <w:r w:rsidRPr="006F5AE5">
              <w:rPr>
                <w:rFonts w:eastAsia="Times New Roman" w:cstheme="minorHAnsi"/>
                <w:color w:val="212121"/>
                <w:lang w:eastAsia="it-IT"/>
              </w:rPr>
              <w:t> pastorale a proprietà collettiva indivisibile e inusucapibile. Per tutte le altre tipologie di terreni l’aliquota è quella base, pari al </w:t>
            </w:r>
            <w:r w:rsidRPr="006F5AE5">
              <w:rPr>
                <w:rFonts w:eastAsia="Times New Roman" w:cstheme="minorHAnsi"/>
                <w:b/>
                <w:bCs/>
                <w:color w:val="212121"/>
                <w:lang w:eastAsia="it-IT"/>
              </w:rPr>
              <w:t>10,6</w:t>
            </w:r>
            <w:r w:rsidRPr="006F5AE5">
              <w:rPr>
                <w:rFonts w:eastAsia="Times New Roman" w:cstheme="minorHAnsi"/>
                <w:color w:val="212121"/>
                <w:lang w:eastAsia="it-IT"/>
              </w:rPr>
              <w:t> per mille.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b/>
                <w:bCs/>
                <w:color w:val="212121"/>
                <w:lang w:eastAsia="it-IT"/>
              </w:rPr>
              <w:t>AGEVOLAZIONE IMU IMMOBILI IN COMODATO D’USO</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xml:space="preserve">È prevista una riduzione del 50% della base imponibile a fini </w:t>
            </w:r>
            <w:proofErr w:type="spellStart"/>
            <w:r w:rsidRPr="006F5AE5">
              <w:rPr>
                <w:rFonts w:eastAsia="Times New Roman" w:cstheme="minorHAnsi"/>
                <w:color w:val="212121"/>
                <w:lang w:eastAsia="it-IT"/>
              </w:rPr>
              <w:t>Imu</w:t>
            </w:r>
            <w:proofErr w:type="spellEnd"/>
            <w:r w:rsidRPr="006F5AE5">
              <w:rPr>
                <w:rFonts w:eastAsia="Times New Roman" w:cstheme="minorHAnsi"/>
                <w:color w:val="212121"/>
                <w:lang w:eastAsia="it-IT"/>
              </w:rPr>
              <w:t xml:space="preserve"> per gli immobili dati in comodato d’uso ai parenti in linea retta di primo grado che la utilizzino come abitazione principale. Sono esclusi dalla riduzione gli immobili classificati in A1, A8 e A9. Per accedere al beneficio della parziale riduzione del pagamento </w:t>
            </w:r>
            <w:proofErr w:type="spellStart"/>
            <w:r w:rsidRPr="006F5AE5">
              <w:rPr>
                <w:rFonts w:eastAsia="Times New Roman" w:cstheme="minorHAnsi"/>
                <w:color w:val="212121"/>
                <w:lang w:eastAsia="it-IT"/>
              </w:rPr>
              <w:t>Imu</w:t>
            </w:r>
            <w:proofErr w:type="spellEnd"/>
            <w:r w:rsidRPr="006F5AE5">
              <w:rPr>
                <w:rFonts w:eastAsia="Times New Roman" w:cstheme="minorHAnsi"/>
                <w:color w:val="212121"/>
                <w:lang w:eastAsia="it-IT"/>
              </w:rPr>
              <w:t>, il contratto deve essere registrato, il comodante deve possedere un solo immobile in Italia e deve risiedere nel comune dove è localizzato l’immobile concesso in comodato. Il beneficio fiscale si applica anche nel caso in cui il comodante possieda un altro immobile non di lusso nello stesso comune che venga</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da lui destinato ad abitazione principale.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xml:space="preserve">La Legge di Bilancio 2019 ha esteso l’agevolazione </w:t>
            </w:r>
            <w:proofErr w:type="spellStart"/>
            <w:r w:rsidRPr="006F5AE5">
              <w:rPr>
                <w:rFonts w:eastAsia="Times New Roman" w:cstheme="minorHAnsi"/>
                <w:color w:val="212121"/>
                <w:lang w:eastAsia="it-IT"/>
              </w:rPr>
              <w:t>Imu</w:t>
            </w:r>
            <w:proofErr w:type="spellEnd"/>
            <w:r w:rsidRPr="006F5AE5">
              <w:rPr>
                <w:rFonts w:eastAsia="Times New Roman" w:cstheme="minorHAnsi"/>
                <w:color w:val="212121"/>
                <w:lang w:eastAsia="it-IT"/>
              </w:rPr>
              <w:t xml:space="preserve"> anche al coniuge del comodatario defunto, ma soltanto qualora siano presenti figli minori.</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b/>
                <w:bCs/>
                <w:color w:val="212121"/>
                <w:lang w:eastAsia="it-IT"/>
              </w:rPr>
              <w:t>IMMOBILI LOCATI A CANONE CONCORDATO</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Per espressa disposizione della legge di stabilità 2016, sin dalla prima rata si applica la riduzione del 25% dell’IMU. Entro il 16 giugno, il contribuente dovrà versare il 50% dell’imposta calcolata sulla base dell’aliquota IMU stabilita dal Comune per il 2015 e ridotta del 25%</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b/>
                <w:bCs/>
                <w:color w:val="212121"/>
                <w:lang w:eastAsia="it-IT"/>
              </w:rPr>
              <w:t>PENSIONATI ISCRITTI ALL'AIRE</w:t>
            </w:r>
          </w:p>
          <w:p w:rsidR="006F5AE5" w:rsidRPr="006F5AE5" w:rsidRDefault="006F5AE5" w:rsidP="006F5AE5">
            <w:pPr>
              <w:spacing w:after="0" w:line="240" w:lineRule="auto"/>
              <w:rPr>
                <w:rFonts w:eastAsia="Times New Roman" w:cstheme="minorHAnsi"/>
                <w:color w:val="212121"/>
                <w:lang w:eastAsia="it-IT"/>
              </w:rPr>
            </w:pPr>
            <w:r w:rsidRPr="006F5AE5">
              <w:rPr>
                <w:rFonts w:eastAsia="Times New Roman" w:cstheme="minorHAnsi"/>
                <w:color w:val="212121"/>
                <w:lang w:eastAsia="it-IT"/>
              </w:rPr>
              <w:t xml:space="preserve">Dal 2020, con la Legge di bilancio 2020, Art. 1 commi 738/787 </w:t>
            </w:r>
            <w:proofErr w:type="gramStart"/>
            <w:r w:rsidRPr="006F5AE5">
              <w:rPr>
                <w:rFonts w:eastAsia="Times New Roman" w:cstheme="minorHAnsi"/>
                <w:color w:val="212121"/>
                <w:lang w:eastAsia="it-IT"/>
              </w:rPr>
              <w:t>-  Legge</w:t>
            </w:r>
            <w:proofErr w:type="gramEnd"/>
            <w:r w:rsidRPr="006F5AE5">
              <w:rPr>
                <w:rFonts w:eastAsia="Times New Roman" w:cstheme="minorHAnsi"/>
                <w:color w:val="212121"/>
                <w:lang w:eastAsia="it-IT"/>
              </w:rPr>
              <w:t>27 dicembre 2019, n. 160, non è più prevista la possibilità di assimilare un immobile ad abitazione principale. Quindi per gli AIRE tutti gli immobili posseduti in Italia sono soggetti a imposta, senza eccezione.</w:t>
            </w:r>
          </w:p>
        </w:tc>
      </w:tr>
    </w:tbl>
    <w:p w:rsidR="000340C9" w:rsidRDefault="000340C9"/>
    <w:sectPr w:rsidR="000340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E5"/>
    <w:rsid w:val="000340C9"/>
    <w:rsid w:val="006F5AE5"/>
    <w:rsid w:val="00D70B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6D8B"/>
  <w15:chartTrackingRefBased/>
  <w15:docId w15:val="{4C9330DE-0193-4A8A-BD66-732631EE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F5AE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lasseditor56">
    <w:name w:val="classeditor56"/>
    <w:basedOn w:val="Carpredefinitoparagrafo"/>
    <w:rsid w:val="006F5AE5"/>
  </w:style>
  <w:style w:type="character" w:styleId="Enfasigrassetto">
    <w:name w:val="Strong"/>
    <w:basedOn w:val="Carpredefinitoparagrafo"/>
    <w:uiPriority w:val="22"/>
    <w:qFormat/>
    <w:rsid w:val="006F5AE5"/>
    <w:rPr>
      <w:b/>
      <w:bCs/>
    </w:rPr>
  </w:style>
  <w:style w:type="character" w:customStyle="1" w:styleId="scayt-misspell-word">
    <w:name w:val="scayt-misspell-word"/>
    <w:basedOn w:val="Carpredefinitoparagrafo"/>
    <w:rsid w:val="006F5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8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Caroli</dc:creator>
  <cp:keywords/>
  <dc:description/>
  <cp:lastModifiedBy>Pierluigi Caroli</cp:lastModifiedBy>
  <cp:revision>2</cp:revision>
  <dcterms:created xsi:type="dcterms:W3CDTF">2025-09-05T07:12:00Z</dcterms:created>
  <dcterms:modified xsi:type="dcterms:W3CDTF">2025-09-05T07:13:00Z</dcterms:modified>
</cp:coreProperties>
</file>