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bCs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5983b0"/>
                <w:sz w:val="38"/>
                <w:szCs w:val="38"/>
                <w:rtl w:val="0"/>
              </w:rPr>
              <w:t xml:space="preserve">4° REPORT 2026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="276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33 annunci di lavoro e 295 figure ricercate sul portale regionale “LavoroXTe”</w:t>
      </w:r>
    </w:p>
    <w:p w:rsidR="00000000" w:rsidDel="00000000" w:rsidP="00000000" w:rsidRDefault="00000000" w:rsidRPr="00000000" w14:paraId="00000005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color w:val="5983b0"/>
          <w:sz w:val="44"/>
          <w:szCs w:val="44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2 febbraio 2026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 DATI DEL 4°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4°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33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295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237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colloca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commercio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25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risorse richieste, seguito dal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industria e metalmeccanica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12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aperte. Si inserisce al quarto posto l’ambito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sanitario e socio-sanitario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7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risorse richieste, seguito in quinta posizione dal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edilizia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Seguono infine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trasporti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cinque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figure richieste e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amministrativo-contabile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aperte.</w:t>
      </w:r>
    </w:p>
    <w:p w:rsidR="00000000" w:rsidDel="00000000" w:rsidP="00000000" w:rsidRDefault="00000000" w:rsidRPr="00000000" w14:paraId="0000000A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 completare il panorama occupazionale c’è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riservata agli iscritti alle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categorie protette art. 18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secondo la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legge 68/99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right="428.7401574803164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10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right="428.7401574803164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13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5">
      <w:pPr>
        <w:ind w:right="428.7401574803164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7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</w:p>
    <w:p w:rsidR="00000000" w:rsidDel="00000000" w:rsidP="00000000" w:rsidRDefault="00000000" w:rsidRPr="00000000" w14:paraId="00000018">
      <w:pPr>
        <w:ind w:right="428.7401574803164"/>
        <w:jc w:val="both"/>
        <w:rPr>
          <w:rFonts w:ascii="Verdana" w:cs="Verdana" w:eastAsia="Verdana" w:hAnsi="Verdana"/>
          <w:b w:val="1"/>
          <w:bCs w:val="1"/>
          <w:color w:val="5983b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428.7401574803164"/>
        <w:jc w:val="both"/>
        <w:rPr>
          <w:rFonts w:ascii="Verdana" w:cs="Verdana" w:eastAsia="Verdana" w:hAnsi="Verdana"/>
          <w:b w:val="1"/>
          <w:bCs w:val="1"/>
          <w:color w:val="5983b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  <w:color w:val="2f5496"/>
          <w:sz w:val="18"/>
          <w:szCs w:val="18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0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bCs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Titillium Web" w:cs="Titillium Web" w:eastAsia="Titillium Web" w:hAnsi="Titillium Web"/>
          <w:b w:val="1"/>
          <w:bCs w:val="1"/>
          <w:i w:val="1"/>
          <w:i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2B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32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pStyle w:val="Subtitle"/>
      <w:jc w:val="left"/>
      <w:rPr>
        <w:b w:val="1"/>
        <w:bCs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bCs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3F">
    <w:pPr>
      <w:pStyle w:val="Subtitle"/>
      <w:jc w:val="left"/>
      <w:rPr>
        <w:b w:val="1"/>
        <w:bCs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bCs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40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rPr>
        <w:b w:val="1"/>
        <w:bCs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2">
          <w:pPr>
            <w:pStyle w:val="Subtitle"/>
            <w:widowControl w:val="0"/>
            <w:jc w:val="left"/>
            <w:rPr>
              <w:b w:val="1"/>
              <w:bCs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bCs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43">
          <w:pPr>
            <w:pStyle w:val="Subtitle"/>
            <w:widowControl w:val="0"/>
            <w:jc w:val="left"/>
            <w:rPr>
              <w:b w:val="1"/>
              <w:bCs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bCs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44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5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6">
          <w:pPr>
            <w:widowControl w:val="0"/>
            <w:rPr>
              <w:b w:val="1"/>
              <w:bCs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7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39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3A">
          <w:pPr>
            <w:pStyle w:val="Subtitle"/>
            <w:widowControl w:val="0"/>
            <w:jc w:val="left"/>
            <w:rPr>
              <w:b w:val="1"/>
              <w:bCs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B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3C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D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